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о проведении общественного обсуждения проекта </w:t>
      </w:r>
    </w:p>
    <w:p>
      <w:pPr>
        <w: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туризма на территории Анжеро-Судженского городского округа» </w:t>
      </w:r>
    </w:p>
    <w:p>
      <w:pPr>
        <w:spacing/>
        <w:jc w:val="both"/>
      </w:pPr>
      <w:r/>
    </w:p>
    <w:tbl>
      <w:tblPr>
        <w:tblStyle w:val="TableNormal"/>
        <w:name w:val="Таблица2"/>
        <w:tabOrder w:val="0"/>
        <w:jc w:val="center"/>
        <w:tblInd w:w="0" w:type="dxa"/>
        <w:tblW w:w="9680" w:type="dxa"/>
        <w:pPr>
          <w:ind w:left="-7"/>
          <w:spacing/>
          <w:jc w:val="center"/>
        </w:pPr>
        <w:tblLook w:val="0600" w:firstRow="0" w:lastRow="0" w:firstColumn="0" w:lastColumn="0" w:noHBand="1" w:noVBand="1"/>
      </w:tblPr>
      <w:tblGrid>
        <w:gridCol w:w="3880"/>
        <w:gridCol w:w="5800"/>
      </w:tblGrid>
      <w:tr>
        <w:trPr>
          <w:tblHeader w:val="0"/>
          <w:cantSplit w:val="0"/>
          <w:trHeight w:val="1125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Наименование</w:t>
            </w:r>
            <w:r>
              <w:rPr>
                <w:spacing w:val="-12" w:percent="89"/>
              </w:rPr>
              <w:t xml:space="preserve"> </w:t>
            </w:r>
            <w:r>
              <w:rPr>
                <w:spacing w:val="-2" w:percent="98"/>
              </w:rPr>
              <w:t>проекта</w:t>
            </w:r>
            <w:r/>
          </w:p>
          <w:p>
            <w:pPr>
              <w:pStyle w:val="para4"/>
            </w:pPr>
            <w:r>
              <w:t>документа, подлежащего общественному</w:t>
            </w:r>
            <w:r>
              <w:rPr>
                <w:spacing w:val="-15" w:percent="86"/>
              </w:rPr>
              <w:t xml:space="preserve"> </w:t>
            </w:r>
            <w:r>
              <w:t>обсуждению:</w:t>
            </w:r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spacing/>
              <w:jc w:val="both"/>
              <w:suppressAutoHyphens/>
              <w:hyphenationLines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Проект постановления администрации Анжеро-Судженского городского округа «Об утверждении муниципальной программы администрации Анжеро-Судженского городского округа «Развитие туризма на территории Анжеро-Судженского городского округа» </w:t>
            </w:r>
          </w:p>
        </w:tc>
      </w:tr>
      <w:tr>
        <w:trPr>
          <w:tblHeader w:val="0"/>
          <w:cantSplit w:val="0"/>
          <w:trHeight w:val="618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Организатор</w:t>
            </w:r>
            <w:r>
              <w:rPr>
                <w:spacing w:val="-15" w:percent="86"/>
              </w:rPr>
              <w:t xml:space="preserve"> </w:t>
            </w:r>
            <w:r>
              <w:t xml:space="preserve">общественного </w:t>
            </w:r>
            <w:r>
              <w:rPr>
                <w:spacing w:val="-2" w:percent="98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rPr>
                <w:rFonts w:eastAsia="Times New Roman"/>
                <w:color w:val="000000"/>
                <w:sz w:val="24"/>
                <w:szCs w:val="24"/>
                <w:shd w:val="clear" w:fill="ffffff"/>
                <w:lang w:bidi="ru-ru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Управление культуры администрации </w:t>
            </w:r>
            <w:r>
              <w:rPr>
                <w:rFonts w:eastAsia="Times New Roman"/>
                <w:color w:val="000000"/>
                <w:sz w:val="24"/>
                <w:szCs w:val="24"/>
                <w:shd w:val="clear" w:fill="ffffff"/>
                <w:lang w:bidi="ru-ru"/>
              </w:rPr>
              <w:t xml:space="preserve">Анжеро-Судженского городского округа </w:t>
            </w:r>
            <w:r>
              <w:rPr>
                <w:rFonts w:eastAsia="Times New Roman"/>
                <w:color w:val="000000"/>
                <w:sz w:val="24"/>
                <w:szCs w:val="24"/>
                <w:shd w:val="clear" w:fill="ffffff"/>
                <w:lang w:bidi="ru-ru"/>
              </w:rPr>
            </w:r>
          </w:p>
        </w:tc>
      </w:tr>
      <w:tr>
        <w:trPr>
          <w:tblHeader w:val="0"/>
          <w:cantSplit w:val="0"/>
          <w:trHeight w:val="870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Форма</w:t>
            </w:r>
            <w:r>
              <w:rPr>
                <w:spacing w:val="-15" w:percent="86"/>
              </w:rPr>
              <w:t xml:space="preserve"> </w:t>
            </w:r>
            <w:r>
              <w:t xml:space="preserve">общественного </w:t>
            </w:r>
            <w:r>
              <w:rPr>
                <w:spacing w:val="-2" w:percent="98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Размещение</w:t>
            </w:r>
            <w:r>
              <w:rPr>
                <w:spacing w:val="-12" w:percent="89"/>
              </w:rPr>
              <w:t xml:space="preserve"> </w:t>
            </w:r>
            <w:r>
              <w:t>проекта</w:t>
            </w:r>
            <w:r>
              <w:rPr>
                <w:spacing w:val="-10" w:percent="91"/>
              </w:rPr>
              <w:t xml:space="preserve"> </w:t>
            </w:r>
            <w:r>
              <w:t>НПА</w:t>
            </w:r>
            <w:r>
              <w:rPr>
                <w:spacing w:val="-10" w:percent="91"/>
              </w:rPr>
              <w:t xml:space="preserve"> </w:t>
            </w:r>
            <w:r>
              <w:t>в</w:t>
            </w:r>
            <w:r>
              <w:rPr>
                <w:spacing w:val="-11" w:percent="90"/>
              </w:rPr>
              <w:t xml:space="preserve"> </w:t>
            </w:r>
            <w:r>
              <w:t>информационно-телекоммуникационной</w:t>
            </w:r>
            <w:r>
              <w:rPr>
                <w:spacing w:val="-9" w:percent="92"/>
              </w:rPr>
              <w:t xml:space="preserve"> </w:t>
            </w:r>
            <w:r>
              <w:rPr>
                <w:spacing w:val="-4" w:percent="96"/>
              </w:rPr>
              <w:t>сети</w:t>
            </w:r>
            <w:r/>
          </w:p>
          <w:p>
            <w:pPr>
              <w:pStyle w:val="para4"/>
            </w:pPr>
            <w:r>
              <w:t>«Интернет»</w:t>
            </w:r>
            <w:r>
              <w:rPr>
                <w:spacing w:val="-10" w:percent="91"/>
              </w:rPr>
              <w:t xml:space="preserve"> </w:t>
            </w:r>
            <w:r>
              <w:t>на</w:t>
            </w:r>
            <w:r>
              <w:rPr>
                <w:spacing w:val="-6" w:percent="95"/>
              </w:rPr>
              <w:t xml:space="preserve"> </w:t>
            </w:r>
            <w:r>
              <w:t>официальном</w:t>
            </w:r>
            <w:r>
              <w:rPr>
                <w:spacing w:val="-7" w:percent="94"/>
              </w:rPr>
              <w:t xml:space="preserve"> </w:t>
            </w:r>
            <w:r>
              <w:t>сайте</w:t>
            </w:r>
            <w:r>
              <w:rPr>
                <w:spacing w:val="-6" w:percent="95"/>
              </w:rPr>
              <w:t xml:space="preserve"> </w:t>
            </w:r>
            <w:r>
              <w:t xml:space="preserve">администрации Анжеро-Судженского городского </w:t>
            </w:r>
            <w:r>
              <w:rPr>
                <w:spacing w:val="-2" w:percent="98"/>
              </w:rPr>
              <w:t>округа (</w:t>
            </w:r>
            <w:r>
              <w:rPr>
                <w:color w:val="0000ff"/>
                <w:spacing w:val="-2" w:percent="98"/>
                <w:u w:color="auto" w:val="single"/>
              </w:rPr>
              <w:t>https://www.anzhero.ru/)</w:t>
            </w:r>
            <w:r/>
          </w:p>
        </w:tc>
      </w:tr>
      <w:tr>
        <w:trPr>
          <w:tblHeader w:val="0"/>
          <w:cantSplit w:val="0"/>
          <w:trHeight w:val="360" w:hRule="atLeast"/>
        </w:trPr>
        <w:tc>
          <w:tcPr>
            <w:tcW w:w="3880" w:type="dxa"/>
            <w:vMerge w:val="restart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rPr>
                <w:spacing w:val="-2" w:percent="98"/>
              </w:rPr>
              <w:t>Контакт: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Почтовый</w:t>
            </w:r>
            <w:r>
              <w:rPr>
                <w:spacing w:val="-4" w:percent="96"/>
              </w:rPr>
              <w:t xml:space="preserve"> </w:t>
            </w:r>
            <w:r>
              <w:t>адрес:</w:t>
            </w:r>
            <w:r>
              <w:rPr>
                <w:spacing w:val="-2" w:percent="98"/>
              </w:rPr>
              <w:t xml:space="preserve"> </w:t>
            </w:r>
            <w:r>
              <w:t xml:space="preserve">Кемеровская область-Кузбасс, </w:t>
            </w:r>
          </w:p>
          <w:p>
            <w:pPr>
              <w:pStyle w:val="para4"/>
            </w:pPr>
            <w:r>
              <w:t>г. Анжеро-Судженск, ул. Ленина, д. 6, каб. 419</w:t>
            </w:r>
          </w:p>
        </w:tc>
      </w:tr>
      <w:tr>
        <w:trPr>
          <w:tblHeader w:val="0"/>
          <w:cantSplit w:val="0"/>
          <w:trHeight w:val="366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Телефон: 8(384-53) 6-94-59</w:t>
            </w:r>
          </w:p>
        </w:tc>
      </w:tr>
      <w:tr>
        <w:trPr>
          <w:tblHeader w:val="0"/>
          <w:cantSplit w:val="0"/>
          <w:trHeight w:val="366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Контактное</w:t>
            </w:r>
            <w:r>
              <w:rPr>
                <w:spacing w:val="-7" w:percent="94"/>
              </w:rPr>
              <w:t xml:space="preserve"> </w:t>
            </w:r>
            <w:r>
              <w:t>лицо:</w:t>
            </w:r>
            <w:r>
              <w:rPr>
                <w:spacing w:val="-6" w:percent="95"/>
              </w:rPr>
              <w:t xml:space="preserve"> </w:t>
            </w:r>
            <w:r>
              <w:t>Вайзбек Анастасия Юрьевна</w:t>
            </w:r>
          </w:p>
        </w:tc>
      </w:tr>
      <w:tr>
        <w:trPr>
          <w:tblHeader w:val="0"/>
          <w:cantSplit w:val="0"/>
          <w:trHeight w:val="358" w:hRule="atLeast"/>
        </w:trPr>
        <w:tc>
          <w:tcPr>
            <w:tcW w:w="3880" w:type="dxa"/>
            <w:vMerge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/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  <w:rPr>
                <w:color w:val="000000"/>
                <w:lang w:val="en-us"/>
              </w:rPr>
            </w:pPr>
            <w:r>
              <w:t>Адрес</w:t>
            </w:r>
            <w:r>
              <w:rPr>
                <w:spacing w:val="-6" w:percent="95"/>
              </w:rPr>
              <w:t xml:space="preserve"> </w:t>
            </w:r>
            <w:r>
              <w:t>электронной</w:t>
            </w:r>
            <w:r>
              <w:rPr>
                <w:spacing w:val="-6" w:percent="95"/>
              </w:rPr>
              <w:t xml:space="preserve"> </w:t>
            </w:r>
            <w:r>
              <w:t>почты:</w:t>
            </w:r>
            <w:r>
              <w:rPr>
                <w:spacing w:val="54" w:percent="149"/>
              </w:rPr>
              <w:t xml:space="preserve"> </w:t>
            </w:r>
            <w:hyperlink r:id="rId7" w:history="1">
              <w:r>
                <w:rPr>
                  <w:color w:val="000000"/>
                </w:rPr>
                <w:t>425</w:t>
              </w:r>
              <w:r>
                <w:rPr>
                  <w:color w:val="000000"/>
                  <w:lang w:val="en-us"/>
                </w:rPr>
                <w:t>t</w:t>
              </w:r>
              <w:r>
                <w:rPr>
                  <w:color w:val="000000"/>
                </w:rPr>
                <w:t>@</w:t>
              </w:r>
              <w:r>
                <w:rPr>
                  <w:color w:val="000000"/>
                  <w:lang w:val="en-us"/>
                </w:rPr>
                <w:t>anzhero</w:t>
              </w:r>
              <w:r>
                <w:rPr>
                  <w:color w:val="000000"/>
                </w:rPr>
                <w:t>.</w:t>
              </w:r>
              <w:r>
                <w:rPr>
                  <w:color w:val="000000"/>
                  <w:lang w:val="en-us"/>
                </w:rPr>
                <w:t>ru</w:t>
              </w:r>
            </w:hyperlink>
          </w:p>
        </w:tc>
      </w:tr>
      <w:tr>
        <w:trPr>
          <w:tblHeader w:val="0"/>
          <w:cantSplit w:val="0"/>
          <w:trHeight w:val="733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Срок</w:t>
            </w:r>
            <w:r>
              <w:rPr>
                <w:spacing w:val="-15" w:percent="86"/>
              </w:rPr>
              <w:t xml:space="preserve"> </w:t>
            </w:r>
            <w:r>
              <w:t xml:space="preserve">общественного </w:t>
            </w:r>
            <w:r>
              <w:rPr>
                <w:spacing w:val="-2" w:percent="98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Дата</w:t>
            </w:r>
            <w:r>
              <w:rPr>
                <w:spacing w:val="-11" w:percent="90"/>
              </w:rPr>
              <w:t xml:space="preserve"> </w:t>
            </w:r>
            <w:r>
              <w:t>начала</w:t>
            </w:r>
            <w:r>
              <w:rPr>
                <w:spacing w:val="-7" w:percent="94"/>
              </w:rPr>
              <w:t xml:space="preserve"> </w:t>
            </w:r>
            <w:r>
              <w:t>общественного</w:t>
            </w:r>
            <w:r>
              <w:rPr>
                <w:spacing w:val="-9" w:percent="92"/>
              </w:rPr>
              <w:t xml:space="preserve"> </w:t>
            </w:r>
            <w:r>
              <w:t>обсуждения:</w:t>
            </w:r>
            <w:r>
              <w:rPr>
                <w:spacing w:val="-7" w:percent="94"/>
              </w:rPr>
              <w:t xml:space="preserve"> </w:t>
            </w:r>
            <w:r>
              <w:t>15.08.2025</w:t>
            </w:r>
          </w:p>
          <w:p>
            <w:pPr>
              <w:pStyle w:val="para4"/>
            </w:pPr>
            <w:r>
              <w:t>Дата</w:t>
            </w:r>
            <w:r>
              <w:rPr>
                <w:spacing w:val="-10" w:percent="91"/>
              </w:rPr>
              <w:t xml:space="preserve"> </w:t>
            </w:r>
            <w:r>
              <w:t>окончания</w:t>
            </w:r>
            <w:r>
              <w:rPr>
                <w:spacing w:val="-9" w:percent="92"/>
              </w:rPr>
              <w:t xml:space="preserve"> </w:t>
            </w:r>
            <w:r>
              <w:t>общественного</w:t>
            </w:r>
            <w:r>
              <w:rPr>
                <w:spacing w:val="-8" w:percent="93"/>
              </w:rPr>
              <w:t xml:space="preserve"> </w:t>
            </w:r>
            <w:r>
              <w:t>обсуждения:</w:t>
            </w:r>
            <w:r>
              <w:rPr>
                <w:spacing w:val="-7" w:percent="94"/>
              </w:rPr>
              <w:t xml:space="preserve"> </w:t>
            </w:r>
            <w:r>
              <w:t>29.08.2025</w:t>
            </w:r>
          </w:p>
        </w:tc>
      </w:tr>
      <w:tr>
        <w:trPr>
          <w:tblHeader w:val="0"/>
          <w:cantSplit w:val="0"/>
          <w:trHeight w:val="1690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Порядок</w:t>
            </w:r>
            <w:r>
              <w:rPr>
                <w:spacing w:val="-15" w:percent="86"/>
              </w:rPr>
              <w:t xml:space="preserve"> </w:t>
            </w:r>
            <w:r>
              <w:t xml:space="preserve">общественного </w:t>
            </w:r>
            <w:r>
              <w:rPr>
                <w:spacing w:val="-2" w:percent="98"/>
              </w:rPr>
              <w:t>обсуждения: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  <w:spacing/>
              <w:jc w:val="both"/>
            </w:pPr>
            <w:r>
              <w:t>Общественное обсуждение проводится путем размещения проекта на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обсуждения, носит рекомендательный характер.</w:t>
            </w:r>
          </w:p>
        </w:tc>
      </w:tr>
      <w:tr>
        <w:trPr>
          <w:tblHeader w:val="0"/>
          <w:cantSplit w:val="0"/>
          <w:trHeight w:val="2165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Способ</w:t>
            </w:r>
            <w:r>
              <w:rPr>
                <w:spacing w:val="-13" w:percent="88"/>
              </w:rPr>
              <w:t xml:space="preserve"> </w:t>
            </w:r>
            <w:r>
              <w:t>подачи</w:t>
            </w:r>
            <w:r>
              <w:rPr>
                <w:spacing w:val="-14" w:percent="87"/>
              </w:rPr>
              <w:t xml:space="preserve"> </w:t>
            </w:r>
            <w:r>
              <w:t>предложений</w:t>
            </w:r>
            <w:r>
              <w:rPr>
                <w:spacing w:val="-13" w:percent="88"/>
              </w:rPr>
              <w:t xml:space="preserve"> </w:t>
            </w:r>
            <w:r>
              <w:t>и замечаний, требования к их</w:t>
            </w:r>
          </w:p>
          <w:p>
            <w:pPr>
              <w:pStyle w:val="para4"/>
            </w:pPr>
            <w:r>
              <w:rPr>
                <w:spacing w:val="-2" w:percent="98"/>
              </w:rPr>
              <w:t>оформлению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  <w:spacing/>
              <w:jc w:val="both"/>
            </w:pPr>
            <w:r>
              <w:t>При</w:t>
            </w:r>
            <w:r>
              <w:rPr>
                <w:spacing w:val="-6" w:percent="95"/>
              </w:rPr>
              <w:t xml:space="preserve"> </w:t>
            </w:r>
            <w:r>
              <w:t>подаче</w:t>
            </w:r>
            <w:r>
              <w:rPr>
                <w:spacing w:val="-6" w:percent="95"/>
              </w:rPr>
              <w:t xml:space="preserve"> </w:t>
            </w:r>
            <w:r>
              <w:t>предложений</w:t>
            </w:r>
            <w:r>
              <w:rPr>
                <w:spacing w:val="-9" w:percent="92"/>
              </w:rPr>
              <w:t xml:space="preserve"> </w:t>
            </w:r>
            <w:r>
              <w:t>и</w:t>
            </w:r>
            <w:r>
              <w:rPr>
                <w:spacing w:val="-6" w:percent="95"/>
              </w:rPr>
              <w:t xml:space="preserve"> </w:t>
            </w:r>
            <w:r>
              <w:t>замечаний</w:t>
            </w:r>
            <w:r>
              <w:rPr>
                <w:spacing w:val="-7" w:percent="94"/>
              </w:rPr>
              <w:t xml:space="preserve"> </w:t>
            </w:r>
            <w:r>
              <w:t>обязательно</w:t>
            </w:r>
            <w:r>
              <w:rPr>
                <w:spacing w:val="-9" w:percent="92"/>
              </w:rPr>
              <w:t xml:space="preserve"> </w:t>
            </w:r>
            <w:r>
              <w:t>указывается</w:t>
            </w:r>
            <w:r>
              <w:rPr>
                <w:spacing w:val="-7" w:percent="94"/>
              </w:rPr>
              <w:t xml:space="preserve"> </w:t>
            </w:r>
            <w:r>
              <w:t>фамилия, имя, отчество, место жительства, адрес электронной почты, телефон участника</w:t>
            </w:r>
            <w:r>
              <w:rPr>
                <w:spacing w:val="-7" w:percent="94"/>
              </w:rPr>
              <w:t xml:space="preserve"> </w:t>
            </w:r>
            <w:r>
              <w:t>общественного</w:t>
            </w:r>
            <w:r>
              <w:rPr>
                <w:spacing w:val="-7" w:percent="94"/>
              </w:rPr>
              <w:t xml:space="preserve"> </w:t>
            </w:r>
            <w:r>
              <w:t>обсуждения,</w:t>
            </w:r>
            <w:r>
              <w:rPr>
                <w:spacing w:val="-7" w:percent="94"/>
              </w:rPr>
              <w:t xml:space="preserve"> </w:t>
            </w:r>
            <w:r>
              <w:t>наименование</w:t>
            </w:r>
            <w:r>
              <w:rPr>
                <w:spacing w:val="-7" w:percent="94"/>
              </w:rPr>
              <w:t xml:space="preserve"> </w:t>
            </w:r>
            <w:r>
              <w:t>организации</w:t>
            </w:r>
            <w:r>
              <w:rPr>
                <w:spacing w:val="-9" w:percent="92"/>
              </w:rPr>
              <w:t xml:space="preserve"> </w:t>
            </w:r>
            <w:r>
              <w:t>(в</w:t>
            </w:r>
            <w:r>
              <w:rPr>
                <w:spacing w:val="-7" w:percent="94"/>
              </w:rPr>
              <w:t xml:space="preserve"> </w:t>
            </w:r>
            <w:r>
              <w:t>случае принадлежности участника к какой-либо организации).</w:t>
            </w:r>
          </w:p>
          <w:p>
            <w:pPr>
              <w:pStyle w:val="para4"/>
              <w:spacing/>
              <w:jc w:val="both"/>
            </w:pPr>
            <w:r>
              <w:t>Предложения и замечания участников общественного обсуждения, поступившие</w:t>
            </w:r>
            <w:r>
              <w:rPr>
                <w:spacing w:val="-6" w:percent="95"/>
              </w:rPr>
              <w:t xml:space="preserve"> </w:t>
            </w:r>
            <w:r>
              <w:t>после</w:t>
            </w:r>
            <w:r>
              <w:rPr>
                <w:spacing w:val="-6" w:percent="95"/>
              </w:rPr>
              <w:t xml:space="preserve"> </w:t>
            </w:r>
            <w:r>
              <w:t>срока</w:t>
            </w:r>
            <w:r>
              <w:rPr>
                <w:spacing w:val="-8" w:percent="93"/>
              </w:rPr>
              <w:t xml:space="preserve"> </w:t>
            </w:r>
            <w:r>
              <w:t>(даты)</w:t>
            </w:r>
            <w:r>
              <w:rPr>
                <w:spacing w:val="-4" w:percent="96"/>
              </w:rPr>
              <w:t xml:space="preserve"> </w:t>
            </w:r>
            <w:r>
              <w:t>окончания</w:t>
            </w:r>
            <w:r>
              <w:rPr>
                <w:spacing w:val="-7" w:percent="94"/>
              </w:rPr>
              <w:t xml:space="preserve"> </w:t>
            </w:r>
            <w:r>
              <w:t>общественного</w:t>
            </w:r>
            <w:r>
              <w:rPr>
                <w:spacing w:val="-6" w:percent="95"/>
              </w:rPr>
              <w:t xml:space="preserve"> </w:t>
            </w:r>
            <w:r>
              <w:t>обсуждения,</w:t>
            </w:r>
            <w:r>
              <w:rPr>
                <w:spacing w:val="-6" w:percent="95"/>
              </w:rPr>
              <w:t xml:space="preserve"> </w:t>
            </w:r>
            <w:r>
              <w:t>не учитываются при доработке проекта</w:t>
            </w:r>
          </w:p>
        </w:tc>
      </w:tr>
      <w:tr>
        <w:trPr>
          <w:tblHeader w:val="0"/>
          <w:cantSplit w:val="0"/>
          <w:trHeight w:val="872" w:hRule="atLeast"/>
        </w:trPr>
        <w:tc>
          <w:tcPr>
            <w:tcW w:w="388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t>Текст</w:t>
            </w:r>
            <w:r>
              <w:rPr>
                <w:spacing w:val="-3" w:percent="97"/>
              </w:rPr>
              <w:t xml:space="preserve"> </w:t>
            </w:r>
            <w:r>
              <w:t>проекта</w:t>
            </w:r>
            <w:r>
              <w:rPr>
                <w:spacing w:val="-6" w:percent="95"/>
              </w:rPr>
              <w:t xml:space="preserve"> </w:t>
            </w:r>
            <w:r>
              <w:rPr>
                <w:spacing w:val="-2" w:percent="98"/>
              </w:rPr>
              <w:t>документа,</w:t>
            </w:r>
            <w:r/>
          </w:p>
          <w:p>
            <w:pPr>
              <w:pStyle w:val="para4"/>
            </w:pPr>
            <w:r>
              <w:t>подлежащего</w:t>
            </w:r>
            <w:r>
              <w:rPr>
                <w:spacing w:val="-15" w:percent="86"/>
              </w:rPr>
              <w:t xml:space="preserve"> </w:t>
            </w:r>
            <w:r>
              <w:t xml:space="preserve">общественному </w:t>
            </w:r>
            <w:r>
              <w:rPr>
                <w:spacing w:val="-2" w:percent="98"/>
              </w:rPr>
              <w:t>обсуждению</w:t>
            </w:r>
            <w:r/>
          </w:p>
        </w:tc>
        <w:tc>
          <w:tcPr>
            <w:tcW w:w="5800" w:type="dxa"/>
            <w:shd w:val="none"/>
            <w:tcMar>
              <w:top w:w="0" w:type="dxa"/>
              <w:left w:w="7" w:type="dxa"/>
              <w:bottom w:w="0" w:type="dxa"/>
              <w:right w:w="7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  <w:tl2br w:val="nil" w:sz="0" w:space="0" w:color="000000" tmln="20, 20, 20, 0, 0"/>
              <w:tr2bl w:val="nil" w:sz="0" w:space="0" w:color="000000" tmln="20, 20, 20, 0, 0"/>
            </w:tcBorders>
            <w:tmTcPr id="1755146913" protected="1"/>
          </w:tcPr>
          <w:p>
            <w:pPr>
              <w:pStyle w:val="para4"/>
            </w:pPr>
            <w:r>
              <w:rPr>
                <w:spacing w:val="-2" w:percent="98"/>
              </w:rPr>
              <w:t>Прилагается</w:t>
            </w:r>
            <w:r/>
          </w:p>
        </w:tc>
      </w:tr>
    </w:tbl>
    <w:p>
      <w:pPr>
        <w:spacing/>
        <w:jc w:val="center"/>
        <w:suppressAutoHyphens/>
        <w:hyphenationLines w:val="0"/>
        <w:rPr>
          <w:b/>
          <w:bCs/>
          <w:sz w:val="28"/>
          <w:szCs w:val="28"/>
        </w:rPr>
      </w:pPr>
      <w:r/>
      <w:bookmarkStart w:id="0" w:name="__DdeLink__4836_1800157355"/>
      <w:r/>
      <w:r>
        <w:rPr>
          <w:b/>
          <w:bCs/>
          <w:sz w:val="28"/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6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15"/>
    <w:tmLastPosCaret>
      <w:tmLastPosPgfIdx w:val="0"/>
      <w:tmLastPosIdx w:val="59"/>
    </w:tmLastPosCaret>
    <w:tmLastPosAnchor>
      <w:tmLastPosPgfIdx w:val="0"/>
      <w:tmLastPosIdx w:val="0"/>
    </w:tmLastPosAnchor>
    <w:tmLastPosTblRect w:left="0" w:top="0" w:right="0" w:bottom="0"/>
  </w:tmLastPos>
  <w:tmAppRevision w:date="1755146913" w:val="1216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Table Paragraph"/>
    <w:qFormat/>
    <w:basedOn w:val="para0"/>
    <w:pPr>
      <w:suppressAutoHyphens/>
      <w:hyphenationLines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sz w:val="24"/>
      <w:szCs w:val="24"/>
    </w:rPr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Table Paragraph"/>
    <w:qFormat/>
    <w:basedOn w:val="para0"/>
    <w:pPr>
      <w:suppressAutoHyphens/>
      <w:hyphenationLines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sz w:val="24"/>
      <w:szCs w:val="24"/>
    </w:rPr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mailto:425t@anzhe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rev.1216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2025-08-12T01:03:24Z</dcterms:created>
  <dcterms:modified xsi:type="dcterms:W3CDTF">2025-08-14T04:48:33Z</dcterms:modified>
</cp:coreProperties>
</file>